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B6" w:rsidRDefault="000E0AB6" w:rsidP="000E0AB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3048000" cy="790575"/>
            <wp:effectExtent l="19050" t="0" r="0" b="0"/>
            <wp:docPr id="1" name="Image 0" descr="LOGO INFOSTAT NOUVEAU [320x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STAT NOUVEAU [320x200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B6" w:rsidRPr="00A25FB9" w:rsidRDefault="000E0AB6" w:rsidP="000E0A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25FB9">
        <w:rPr>
          <w:rFonts w:ascii="Arial" w:eastAsia="Times New Roman" w:hAnsi="Arial" w:cs="Arial"/>
          <w:b/>
          <w:sz w:val="28"/>
          <w:szCs w:val="28"/>
        </w:rPr>
        <w:t>COMMISSION VEILLE</w:t>
      </w:r>
    </w:p>
    <w:p w:rsidR="000E0AB6" w:rsidRPr="00A25FB9" w:rsidRDefault="000E0AB6" w:rsidP="000E0A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25FB9">
        <w:rPr>
          <w:rFonts w:ascii="Arial" w:eastAsia="Times New Roman" w:hAnsi="Arial" w:cs="Arial"/>
          <w:b/>
          <w:sz w:val="28"/>
          <w:szCs w:val="28"/>
        </w:rPr>
        <w:t>12 FEVRIER 2015</w:t>
      </w:r>
    </w:p>
    <w:p w:rsidR="000E0AB6" w:rsidRPr="00A25FB9" w:rsidRDefault="000E0AB6" w:rsidP="000E0AB6">
      <w:pPr>
        <w:spacing w:after="0" w:line="240" w:lineRule="auto"/>
        <w:rPr>
          <w:rFonts w:eastAsia="Times New Roman"/>
          <w:b/>
        </w:rPr>
      </w:pPr>
    </w:p>
    <w:p w:rsidR="000E0AB6" w:rsidRDefault="000E0AB6" w:rsidP="000E0AB6">
      <w:pPr>
        <w:spacing w:after="0" w:line="240" w:lineRule="auto"/>
        <w:rPr>
          <w:rFonts w:eastAsia="Times New Roman"/>
        </w:rPr>
      </w:pP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 xml:space="preserve">Ce matin, échanges conviviaux et instructifs avec Laurence, Marion et </w:t>
      </w:r>
      <w:proofErr w:type="spellStart"/>
      <w:r w:rsidRPr="000E0AB6">
        <w:rPr>
          <w:rFonts w:eastAsia="Times New Roman"/>
        </w:rPr>
        <w:t>Saber</w:t>
      </w:r>
      <w:proofErr w:type="spellEnd"/>
      <w:r w:rsidRPr="000E0AB6">
        <w:rPr>
          <w:rFonts w:eastAsia="Times New Roman"/>
        </w:rPr>
        <w:t xml:space="preserve"> sur la mise en place d'une structure de veille.</w:t>
      </w: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>Quelques termes clés issus de ces interactions :</w:t>
      </w:r>
    </w:p>
    <w:p w:rsidR="000E0AB6" w:rsidRPr="000E0AB6" w:rsidRDefault="000E0AB6" w:rsidP="000E0AB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>Etat des lieux : les besoins internes</w:t>
      </w:r>
    </w:p>
    <w:p w:rsidR="000E0AB6" w:rsidRPr="000E0AB6" w:rsidRDefault="000E0AB6" w:rsidP="000E0AB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>Typologie de la veille : champ d'application (web ; réseaux sociaux ; recueils du terrain ;...)</w:t>
      </w:r>
    </w:p>
    <w:p w:rsidR="000E0AB6" w:rsidRPr="000E0AB6" w:rsidRDefault="000E0AB6" w:rsidP="000E0AB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>Les outils : choix d'un prestataire (cahier des charges)</w:t>
      </w:r>
    </w:p>
    <w:p w:rsidR="000E0AB6" w:rsidRPr="000E0AB6" w:rsidRDefault="000E0AB6" w:rsidP="000E0AB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>Evaluation : mesure de l'impact de la veille</w:t>
      </w:r>
    </w:p>
    <w:p w:rsidR="000E0AB6" w:rsidRPr="000E0AB6" w:rsidRDefault="000E0AB6" w:rsidP="000E0AB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>La Dynamique : créer des partenariats en interne</w:t>
      </w: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 xml:space="preserve">A été évoquée aussi cette source d'informations : </w:t>
      </w:r>
      <w:hyperlink r:id="rId6" w:history="1">
        <w:r w:rsidRPr="000E0AB6">
          <w:rPr>
            <w:rFonts w:eastAsia="Times New Roman"/>
            <w:color w:val="0000FF"/>
            <w:u w:val="single"/>
          </w:rPr>
          <w:t>http://www.scoop.it/t/sante-hopitaux-par-la-cftc-hus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 xml:space="preserve">Pour Marion et </w:t>
      </w:r>
      <w:proofErr w:type="spellStart"/>
      <w:r w:rsidRPr="000E0AB6">
        <w:rPr>
          <w:rFonts w:eastAsia="Times New Roman"/>
        </w:rPr>
        <w:t>Saber</w:t>
      </w:r>
      <w:proofErr w:type="spellEnd"/>
      <w:r w:rsidRPr="000E0AB6">
        <w:rPr>
          <w:rFonts w:eastAsia="Times New Roman"/>
        </w:rPr>
        <w:t xml:space="preserve"> qui ont pour projet de composer une Veille, le tableau réalisé par la Commission en fichier attaché. Voir aussi ce qui se trouve sur le site Infostat...et ne pas hésiter à bénéficier de l'expérience des membres de la Commission !</w:t>
      </w: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</w:p>
    <w:p w:rsidR="000E0AB6" w:rsidRPr="000E0AB6" w:rsidRDefault="000E0AB6" w:rsidP="000E0AB6">
      <w:pPr>
        <w:spacing w:after="0" w:line="240" w:lineRule="auto"/>
        <w:rPr>
          <w:rFonts w:eastAsia="Times New Roman"/>
          <w:b/>
          <w:bCs/>
        </w:rPr>
      </w:pPr>
      <w:r w:rsidRPr="000E0AB6">
        <w:rPr>
          <w:rFonts w:eastAsia="Times New Roman"/>
          <w:b/>
          <w:bCs/>
        </w:rPr>
        <w:t xml:space="preserve">Point important pour 2015 : Poursuite du projet sur le </w:t>
      </w:r>
      <w:proofErr w:type="spellStart"/>
      <w:r w:rsidRPr="000E0AB6">
        <w:rPr>
          <w:rFonts w:eastAsia="Times New Roman"/>
          <w:b/>
          <w:bCs/>
        </w:rPr>
        <w:t>Big</w:t>
      </w:r>
      <w:proofErr w:type="spellEnd"/>
      <w:r w:rsidRPr="000E0AB6">
        <w:rPr>
          <w:rFonts w:eastAsia="Times New Roman"/>
          <w:b/>
          <w:bCs/>
        </w:rPr>
        <w:t>-Data</w:t>
      </w: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 xml:space="preserve">Après avoir bénéficié des lumières du </w:t>
      </w:r>
      <w:proofErr w:type="spellStart"/>
      <w:r w:rsidRPr="000E0AB6">
        <w:rPr>
          <w:rFonts w:eastAsia="Times New Roman"/>
        </w:rPr>
        <w:t>Leem</w:t>
      </w:r>
      <w:proofErr w:type="spellEnd"/>
      <w:r w:rsidRPr="000E0AB6">
        <w:rPr>
          <w:rFonts w:eastAsia="Times New Roman"/>
        </w:rPr>
        <w:t xml:space="preserve">, il reste maintenant à interroger 1 ou 2 sociétés par membre de la Commission sur </w:t>
      </w:r>
      <w:r w:rsidRPr="000E0AB6">
        <w:rPr>
          <w:rFonts w:eastAsia="Times New Roman"/>
          <w:b/>
          <w:bCs/>
        </w:rPr>
        <w:t xml:space="preserve">A/le </w:t>
      </w:r>
      <w:proofErr w:type="spellStart"/>
      <w:r w:rsidRPr="000E0AB6">
        <w:rPr>
          <w:rFonts w:eastAsia="Times New Roman"/>
          <w:b/>
          <w:bCs/>
        </w:rPr>
        <w:t>Big</w:t>
      </w:r>
      <w:proofErr w:type="spellEnd"/>
      <w:r w:rsidRPr="000E0AB6">
        <w:rPr>
          <w:rFonts w:eastAsia="Times New Roman"/>
          <w:b/>
          <w:bCs/>
        </w:rPr>
        <w:t xml:space="preserve"> Data : demander une définition</w:t>
      </w:r>
      <w:r w:rsidRPr="000E0AB6">
        <w:rPr>
          <w:rFonts w:eastAsia="Times New Roman"/>
        </w:rPr>
        <w:t xml:space="preserve"> – </w:t>
      </w:r>
      <w:r w:rsidRPr="000E0AB6">
        <w:rPr>
          <w:rFonts w:eastAsia="Times New Roman"/>
          <w:b/>
          <w:bCs/>
        </w:rPr>
        <w:t>B/les implications, conséquences sur le domaine de la santé (prévisionnel)</w:t>
      </w:r>
      <w:r w:rsidRPr="000E0AB6">
        <w:rPr>
          <w:rFonts w:eastAsia="Times New Roman"/>
        </w:rPr>
        <w:t xml:space="preserve"> – </w:t>
      </w:r>
      <w:r w:rsidRPr="000E0AB6">
        <w:rPr>
          <w:rFonts w:eastAsia="Times New Roman"/>
          <w:b/>
          <w:bCs/>
        </w:rPr>
        <w:t>C/la proposition du prestataire</w:t>
      </w:r>
      <w:r w:rsidRPr="000E0AB6">
        <w:rPr>
          <w:rFonts w:eastAsia="Times New Roman"/>
        </w:rPr>
        <w:t xml:space="preserve"> (Outil; quelle mise en place ? Timing ? Coût ? </w:t>
      </w:r>
      <w:proofErr w:type="gramStart"/>
      <w:r w:rsidRPr="000E0AB6">
        <w:rPr>
          <w:rFonts w:eastAsia="Times New Roman"/>
        </w:rPr>
        <w:t>ses</w:t>
      </w:r>
      <w:proofErr w:type="gramEnd"/>
      <w:r w:rsidRPr="000E0AB6">
        <w:rPr>
          <w:rFonts w:eastAsia="Times New Roman"/>
        </w:rPr>
        <w:t xml:space="preserve"> références sur le domaine de la santé ?...).</w:t>
      </w: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>Tous les formats de réponse seront acceptés avec un faible toutefois pour Powerpoint...</w:t>
      </w:r>
      <w:r w:rsidRPr="000E0AB6">
        <w:rPr>
          <w:rFonts w:eastAsia="Times New Roman"/>
          <w:b/>
          <w:bCs/>
        </w:rPr>
        <w:t xml:space="preserve">Timing : réponse attendue avant le 30 juin. </w:t>
      </w:r>
      <w:r w:rsidRPr="000E0AB6">
        <w:rPr>
          <w:rFonts w:eastAsia="Times New Roman"/>
        </w:rPr>
        <w:t>Ainsi la Commission pourra évaluer et échanger sur les différentes réponses et propositions des sociétés après les congés d'été.</w:t>
      </w: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r w:rsidRPr="000E0AB6">
        <w:rPr>
          <w:rFonts w:eastAsia="Times New Roman"/>
        </w:rPr>
        <w:t>Pour rappel, quelques propositions de sociétés avec lesquelles vous pouvez commencer à œuvrer (en informer les autres membres):</w:t>
      </w: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7" w:history="1">
        <w:r w:rsidRPr="000E0AB6">
          <w:rPr>
            <w:rFonts w:eastAsia="Times New Roman"/>
            <w:color w:val="0000FF"/>
            <w:u w:val="single"/>
          </w:rPr>
          <w:t>www.axa.fr/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8" w:history="1">
        <w:r w:rsidRPr="000E0AB6">
          <w:rPr>
            <w:rFonts w:eastAsia="Times New Roman"/>
            <w:color w:val="0000FF"/>
            <w:u w:val="single"/>
          </w:rPr>
          <w:t>http://fr.talend.com/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9" w:history="1">
        <w:r w:rsidRPr="000E0AB6">
          <w:rPr>
            <w:rFonts w:eastAsia="Times New Roman"/>
            <w:color w:val="0000FF"/>
            <w:u w:val="single"/>
          </w:rPr>
          <w:t>http://www.fr.capgemini.com/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0" w:history="1">
        <w:r w:rsidRPr="000E0AB6">
          <w:rPr>
            <w:rFonts w:eastAsia="Times New Roman"/>
            <w:color w:val="0000FF"/>
            <w:u w:val="single"/>
          </w:rPr>
          <w:t>http://www.intel.fr/content/www/fr/fr/homepage.html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1" w:history="1">
        <w:r w:rsidRPr="000E0AB6">
          <w:rPr>
            <w:rFonts w:eastAsia="Times New Roman"/>
            <w:color w:val="0000FF"/>
            <w:u w:val="single"/>
          </w:rPr>
          <w:t>http://www.ibm.com/fr/fr/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2" w:history="1">
        <w:r w:rsidRPr="000E0AB6">
          <w:rPr>
            <w:rFonts w:eastAsia="Times New Roman"/>
            <w:color w:val="0000FF"/>
            <w:u w:val="single"/>
          </w:rPr>
          <w:t>http://www.kappasante.com/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3" w:history="1">
        <w:r w:rsidRPr="000E0AB6">
          <w:rPr>
            <w:rFonts w:eastAsia="Times New Roman"/>
            <w:color w:val="0000FF"/>
            <w:u w:val="single"/>
          </w:rPr>
          <w:t>http://france.emc.com/index.htm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4" w:history="1">
        <w:r w:rsidRPr="000E0AB6">
          <w:rPr>
            <w:rFonts w:eastAsia="Times New Roman"/>
            <w:color w:val="0000FF"/>
            <w:u w:val="single"/>
          </w:rPr>
          <w:t>http://www8.hp.com/fr/fr/business-solutions/big-data-overview.html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5" w:history="1">
        <w:r w:rsidRPr="000E0AB6">
          <w:rPr>
            <w:rFonts w:eastAsia="Times New Roman"/>
            <w:color w:val="0000FF"/>
            <w:u w:val="single"/>
          </w:rPr>
          <w:t>http://www.interaction-healthcare.com/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6" w:history="1">
        <w:r w:rsidRPr="000E0AB6">
          <w:rPr>
            <w:rFonts w:eastAsia="Times New Roman"/>
            <w:color w:val="0000FF"/>
            <w:u w:val="single"/>
          </w:rPr>
          <w:t>http://healthcare.orange.com/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7" w:history="1">
        <w:r w:rsidRPr="000E0AB6">
          <w:rPr>
            <w:rFonts w:eastAsia="Times New Roman"/>
            <w:color w:val="0000FF"/>
            <w:u w:val="single"/>
          </w:rPr>
          <w:t>http://www.ey.com/FR/fr/Home/Article</w:t>
        </w:r>
      </w:hyperlink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8" w:history="1">
        <w:r w:rsidRPr="000E0AB6">
          <w:rPr>
            <w:rFonts w:eastAsia="Times New Roman"/>
            <w:color w:val="0000FF"/>
            <w:u w:val="single"/>
          </w:rPr>
          <w:t>http://www.qlik.com/fr</w:t>
        </w:r>
      </w:hyperlink>
      <w:r w:rsidRPr="000E0AB6">
        <w:rPr>
          <w:rFonts w:eastAsia="Times New Roman"/>
        </w:rPr>
        <w:t xml:space="preserve"> </w:t>
      </w:r>
    </w:p>
    <w:p w:rsidR="000E0AB6" w:rsidRPr="000E0AB6" w:rsidRDefault="000E0AB6" w:rsidP="000E0AB6">
      <w:pPr>
        <w:spacing w:after="0" w:line="240" w:lineRule="auto"/>
        <w:rPr>
          <w:rFonts w:eastAsia="Times New Roman"/>
        </w:rPr>
      </w:pPr>
      <w:hyperlink r:id="rId19" w:history="1">
        <w:r w:rsidRPr="000E0AB6">
          <w:rPr>
            <w:rFonts w:eastAsia="Times New Roman"/>
            <w:color w:val="0000FF"/>
            <w:u w:val="single"/>
          </w:rPr>
          <w:t>http://aws.amazon.com/fr/big-data/</w:t>
        </w:r>
      </w:hyperlink>
    </w:p>
    <w:p w:rsidR="00B53580" w:rsidRDefault="00B53580"/>
    <w:sectPr w:rsidR="00B53580" w:rsidSect="00B5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544"/>
    <w:multiLevelType w:val="hybridMultilevel"/>
    <w:tmpl w:val="508EC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0AB6"/>
    <w:rsid w:val="000E0AB6"/>
    <w:rsid w:val="003D6888"/>
    <w:rsid w:val="005E6EB2"/>
    <w:rsid w:val="00613CFD"/>
    <w:rsid w:val="00890061"/>
    <w:rsid w:val="00A25FB9"/>
    <w:rsid w:val="00B5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8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D6888"/>
    <w:rPr>
      <w:b/>
      <w:bCs/>
    </w:rPr>
  </w:style>
  <w:style w:type="paragraph" w:styleId="Sansinterligne">
    <w:name w:val="No Spacing"/>
    <w:uiPriority w:val="1"/>
    <w:qFormat/>
    <w:rsid w:val="003D6888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D688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E0A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talend.com/" TargetMode="External"/><Relationship Id="rId13" Type="http://schemas.openxmlformats.org/officeDocument/2006/relationships/hyperlink" Target="http://france.emc.com/index.htm" TargetMode="External"/><Relationship Id="rId18" Type="http://schemas.openxmlformats.org/officeDocument/2006/relationships/hyperlink" Target="http://www.qlik.com/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xa.fr/" TargetMode="External"/><Relationship Id="rId12" Type="http://schemas.openxmlformats.org/officeDocument/2006/relationships/hyperlink" Target="http://www.kappasante.com/" TargetMode="External"/><Relationship Id="rId17" Type="http://schemas.openxmlformats.org/officeDocument/2006/relationships/hyperlink" Target="http://www.ey.com/FR/fr/Home/Arti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lthcare.orang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oop.it/t/sante-hopitaux-par-la-cftc-hus" TargetMode="External"/><Relationship Id="rId11" Type="http://schemas.openxmlformats.org/officeDocument/2006/relationships/hyperlink" Target="http://www.ibm.com/fr/f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eraction-healthcare.com/" TargetMode="External"/><Relationship Id="rId10" Type="http://schemas.openxmlformats.org/officeDocument/2006/relationships/hyperlink" Target="http://www.intel.fr/content/www/fr/fr/homepage.html" TargetMode="External"/><Relationship Id="rId19" Type="http://schemas.openxmlformats.org/officeDocument/2006/relationships/hyperlink" Target="http://aws.amazon.com/fr/big-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.capgemini.com/" TargetMode="External"/><Relationship Id="rId14" Type="http://schemas.openxmlformats.org/officeDocument/2006/relationships/hyperlink" Target="http://www8.hp.com/fr/fr/business-solutions/big-data-overview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Fnac</dc:creator>
  <cp:lastModifiedBy>Fnac</cp:lastModifiedBy>
  <cp:revision>2</cp:revision>
  <dcterms:created xsi:type="dcterms:W3CDTF">2015-02-17T12:05:00Z</dcterms:created>
  <dcterms:modified xsi:type="dcterms:W3CDTF">2015-02-17T12:12:00Z</dcterms:modified>
</cp:coreProperties>
</file>